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81E" w:rsidRDefault="00E6081E" w:rsidP="00E6081E">
      <w:pPr>
        <w:jc w:val="center"/>
        <w:rPr>
          <w:rFonts w:cs="Guttman David" w:hint="cs"/>
          <w:b/>
          <w:bCs/>
          <w:sz w:val="36"/>
          <w:szCs w:val="36"/>
          <w:rtl/>
        </w:rPr>
      </w:pPr>
      <w:r w:rsidRPr="00762078">
        <w:rPr>
          <w:rFonts w:cs="Guttman David" w:hint="cs"/>
          <w:b/>
          <w:bCs/>
          <w:sz w:val="36"/>
          <w:szCs w:val="36"/>
          <w:rtl/>
        </w:rPr>
        <w:t>שאלות ותשובות בהלכה</w:t>
      </w:r>
      <w:r>
        <w:rPr>
          <w:rFonts w:cs="Guttman David" w:hint="cs"/>
          <w:b/>
          <w:bCs/>
          <w:sz w:val="36"/>
          <w:szCs w:val="36"/>
          <w:rtl/>
        </w:rPr>
        <w:t xml:space="preserve"> </w:t>
      </w:r>
      <w:r>
        <w:rPr>
          <w:rFonts w:cs="Guttman David"/>
          <w:b/>
          <w:bCs/>
          <w:sz w:val="36"/>
          <w:szCs w:val="36"/>
          <w:rtl/>
        </w:rPr>
        <w:t>–</w:t>
      </w:r>
      <w:r>
        <w:rPr>
          <w:rFonts w:cs="Guttman David" w:hint="cs"/>
          <w:b/>
          <w:bCs/>
          <w:sz w:val="36"/>
          <w:szCs w:val="36"/>
          <w:rtl/>
        </w:rPr>
        <w:t xml:space="preserve"> דינים השייכים קודם תפילת שחרית</w:t>
      </w:r>
    </w:p>
    <w:p w:rsidR="00E6081E" w:rsidRDefault="00E6081E" w:rsidP="00E6081E">
      <w:pPr>
        <w:jc w:val="center"/>
        <w:rPr>
          <w:rFonts w:cs="Guttman David" w:hint="cs"/>
          <w:b/>
          <w:bCs/>
          <w:sz w:val="36"/>
          <w:szCs w:val="36"/>
          <w:rtl/>
        </w:rPr>
      </w:pPr>
      <w:r>
        <w:rPr>
          <w:rFonts w:cs="Guttman David" w:hint="cs"/>
          <w:b/>
          <w:bCs/>
          <w:sz w:val="36"/>
          <w:szCs w:val="36"/>
          <w:rtl/>
        </w:rPr>
        <w:t xml:space="preserve">נתנאל אליאס </w:t>
      </w:r>
    </w:p>
    <w:p w:rsidR="00E6081E" w:rsidRPr="00E014BD" w:rsidRDefault="00E6081E" w:rsidP="00E6081E">
      <w:pPr>
        <w:jc w:val="center"/>
        <w:rPr>
          <w:rFonts w:cs="Times New Roman"/>
          <w:b/>
          <w:bCs/>
          <w:sz w:val="36"/>
          <w:szCs w:val="36"/>
        </w:rPr>
      </w:pPr>
      <w:r>
        <w:rPr>
          <w:rFonts w:cs="Times New Roman"/>
          <w:b/>
          <w:bCs/>
          <w:sz w:val="36"/>
          <w:szCs w:val="36"/>
        </w:rPr>
        <w:t>A312260086@gmail.com</w:t>
      </w:r>
    </w:p>
    <w:p w:rsidR="00E6081E" w:rsidRPr="00E6081E" w:rsidRDefault="00E6081E" w:rsidP="00E6081E">
      <w:pPr>
        <w:jc w:val="center"/>
        <w:rPr>
          <w:rFonts w:cs="Guttman David" w:hint="cs"/>
          <w:b/>
          <w:bCs/>
          <w:sz w:val="36"/>
          <w:szCs w:val="36"/>
          <w:rtl/>
        </w:rPr>
      </w:pPr>
    </w:p>
    <w:p w:rsidR="00E6081E" w:rsidRPr="00E309B1" w:rsidRDefault="00E6081E" w:rsidP="00E6081E">
      <w:pPr>
        <w:jc w:val="center"/>
        <w:rPr>
          <w:rFonts w:cs="Guttman David"/>
          <w:b/>
          <w:bCs/>
          <w:sz w:val="36"/>
          <w:szCs w:val="36"/>
          <w:rtl/>
        </w:rPr>
      </w:pPr>
      <w:r w:rsidRPr="00E309B1">
        <w:rPr>
          <w:rFonts w:cs="Guttman David" w:hint="cs"/>
          <w:b/>
          <w:bCs/>
          <w:sz w:val="36"/>
          <w:szCs w:val="36"/>
          <w:rtl/>
        </w:rPr>
        <w:t>דינים השייכים קודם תפילת שחרית</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לומר 'שלום' לחברו קודם התפילה בבוקר ?</w:t>
      </w:r>
    </w:p>
    <w:p w:rsidR="00E6081E" w:rsidRDefault="00E6081E" w:rsidP="00E6081E">
      <w:pPr>
        <w:rPr>
          <w:rFonts w:cs="Guttman David"/>
          <w:sz w:val="36"/>
          <w:szCs w:val="36"/>
          <w:rtl/>
        </w:rPr>
      </w:pPr>
      <w:r>
        <w:rPr>
          <w:rFonts w:cs="Guttman David" w:hint="cs"/>
          <w:sz w:val="36"/>
          <w:szCs w:val="36"/>
          <w:rtl/>
        </w:rPr>
        <w:t>ת. ללכת לביתו של חברו לומר לו שלום קודם התפילה, אסור. מפני שנראה כמחשיב את חברו יותר מהקב"ה. אולם אם רואה את חברו בדרך, או בבית הכנסת, מותר לומר לו שלום.</w:t>
      </w:r>
    </w:p>
    <w:p w:rsidR="00E6081E" w:rsidRPr="00E309B1" w:rsidRDefault="00E6081E" w:rsidP="00E6081E">
      <w:pPr>
        <w:rPr>
          <w:rFonts w:cs="Guttman David"/>
          <w:b/>
          <w:bCs/>
          <w:sz w:val="36"/>
          <w:szCs w:val="36"/>
          <w:rtl/>
        </w:rPr>
      </w:pPr>
      <w:r w:rsidRPr="00E309B1">
        <w:rPr>
          <w:rFonts w:cs="Guttman David" w:hint="cs"/>
          <w:b/>
          <w:bCs/>
          <w:sz w:val="36"/>
          <w:szCs w:val="36"/>
          <w:rtl/>
        </w:rPr>
        <w:t>ש. מה הדין אם חברו עומד לצאת לחו"ל האם מותר לבוא לביתו להקדים לו 'שלום' ?</w:t>
      </w:r>
    </w:p>
    <w:p w:rsidR="00E6081E" w:rsidRDefault="00E6081E" w:rsidP="00E6081E">
      <w:pPr>
        <w:rPr>
          <w:rFonts w:cs="Guttman David"/>
          <w:sz w:val="36"/>
          <w:szCs w:val="36"/>
          <w:rtl/>
        </w:rPr>
      </w:pPr>
      <w:r>
        <w:rPr>
          <w:rFonts w:cs="Guttman David" w:hint="cs"/>
          <w:sz w:val="36"/>
          <w:szCs w:val="36"/>
          <w:rtl/>
        </w:rPr>
        <w:t>ת. אסור.</w:t>
      </w:r>
    </w:p>
    <w:p w:rsidR="00E6081E" w:rsidRDefault="00E6081E" w:rsidP="00E6081E">
      <w:pPr>
        <w:rPr>
          <w:rFonts w:cs="Guttman David"/>
          <w:sz w:val="36"/>
          <w:szCs w:val="36"/>
          <w:rtl/>
        </w:rPr>
      </w:pPr>
      <w:r>
        <w:rPr>
          <w:rFonts w:cs="Guttman David" w:hint="cs"/>
          <w:sz w:val="36"/>
          <w:szCs w:val="36"/>
          <w:rtl/>
        </w:rPr>
        <w:t>ש. מה הדין אם רבו או הוריו נוסעים לחו"ל ?</w:t>
      </w:r>
    </w:p>
    <w:p w:rsidR="00E6081E" w:rsidRDefault="00E6081E" w:rsidP="00E6081E">
      <w:pPr>
        <w:rPr>
          <w:rFonts w:cs="Guttman David"/>
          <w:sz w:val="36"/>
          <w:szCs w:val="36"/>
          <w:rtl/>
        </w:rPr>
      </w:pPr>
      <w:r>
        <w:rPr>
          <w:rFonts w:cs="Guttman David" w:hint="cs"/>
          <w:sz w:val="36"/>
          <w:szCs w:val="36"/>
          <w:rtl/>
        </w:rPr>
        <w:t>ת. מותר להקדים להם 'שלום' משום שחייב בכבודם, אך לא יאמר להם את המילה 'שלום', אלא יפדר מהם במילים אחרות, משום ששנו של הקב"ה 'שלום', ואין ראוי שיברך אנשים בשמו של הקב"ה לפני שמברך את ה'.</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ללוות את חברו או הוריו לשדה התעופה קודם התפילה ?</w:t>
      </w:r>
    </w:p>
    <w:p w:rsidR="00E6081E" w:rsidRDefault="00E6081E" w:rsidP="00E6081E">
      <w:pPr>
        <w:rPr>
          <w:rFonts w:cs="Guttman David"/>
          <w:sz w:val="36"/>
          <w:szCs w:val="36"/>
          <w:rtl/>
        </w:rPr>
      </w:pPr>
      <w:r>
        <w:rPr>
          <w:rFonts w:cs="Guttman David" w:hint="cs"/>
          <w:sz w:val="36"/>
          <w:szCs w:val="36"/>
          <w:rtl/>
        </w:rPr>
        <w:lastRenderedPageBreak/>
        <w:t>ת. מותר, משום שיש בזה מצוות חסד, אך יזהר שלא יעבור זמן תפילה.</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להתעסק בצרכיו קודם התפילה ?</w:t>
      </w:r>
    </w:p>
    <w:p w:rsidR="00E6081E" w:rsidRDefault="00E6081E" w:rsidP="00E6081E">
      <w:pPr>
        <w:rPr>
          <w:rFonts w:cs="Guttman David"/>
          <w:sz w:val="36"/>
          <w:szCs w:val="36"/>
          <w:rtl/>
        </w:rPr>
      </w:pPr>
      <w:r>
        <w:rPr>
          <w:rFonts w:cs="Guttman David" w:hint="cs"/>
          <w:sz w:val="36"/>
          <w:szCs w:val="36"/>
          <w:rtl/>
        </w:rPr>
        <w:t>ת. אסור.</w:t>
      </w:r>
    </w:p>
    <w:p w:rsidR="00E6081E" w:rsidRPr="00E309B1" w:rsidRDefault="00E6081E" w:rsidP="00E6081E">
      <w:pPr>
        <w:rPr>
          <w:rFonts w:cs="Guttman David"/>
          <w:b/>
          <w:bCs/>
          <w:sz w:val="36"/>
          <w:szCs w:val="36"/>
          <w:rtl/>
        </w:rPr>
      </w:pPr>
      <w:r w:rsidRPr="00E309B1">
        <w:rPr>
          <w:rFonts w:cs="Guttman David" w:hint="cs"/>
          <w:b/>
          <w:bCs/>
          <w:sz w:val="36"/>
          <w:szCs w:val="36"/>
          <w:rtl/>
        </w:rPr>
        <w:t>ש. מה הדין אם רוצה לנסוע קודם התפילה לעיר אחרת ?</w:t>
      </w:r>
    </w:p>
    <w:p w:rsidR="00E6081E" w:rsidRDefault="00E6081E" w:rsidP="00E6081E">
      <w:pPr>
        <w:rPr>
          <w:rFonts w:cs="Guttman David"/>
          <w:sz w:val="36"/>
          <w:szCs w:val="36"/>
          <w:rtl/>
        </w:rPr>
      </w:pPr>
      <w:r>
        <w:rPr>
          <w:rFonts w:cs="Guttman David" w:hint="cs"/>
          <w:sz w:val="36"/>
          <w:szCs w:val="36"/>
          <w:rtl/>
        </w:rPr>
        <w:t>ת. אסור לנסוע לעיר אחרת קודם התפילה, אא"כ רוצה להתפלל באותו מקום שאליו רוצה לנסוע.</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להתרחץ לפני התפילה ?</w:t>
      </w:r>
    </w:p>
    <w:p w:rsidR="00E6081E" w:rsidRDefault="00E6081E" w:rsidP="00E6081E">
      <w:pPr>
        <w:rPr>
          <w:rFonts w:cs="Guttman David"/>
          <w:sz w:val="36"/>
          <w:szCs w:val="36"/>
          <w:rtl/>
        </w:rPr>
      </w:pPr>
      <w:r>
        <w:rPr>
          <w:rFonts w:cs="Guttman David" w:hint="cs"/>
          <w:sz w:val="36"/>
          <w:szCs w:val="36"/>
          <w:rtl/>
        </w:rPr>
        <w:t>ת. מעיקר הדין אסור, אא"כ הוא מזיע הרבה וקשה לו להתפלל כך, שאז הרחיצה היא לצורך התפילה.</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להתגלח קודם התפילה ?</w:t>
      </w:r>
    </w:p>
    <w:p w:rsidR="00E6081E" w:rsidRDefault="00E6081E" w:rsidP="00E6081E">
      <w:pPr>
        <w:rPr>
          <w:rFonts w:cs="Guttman David"/>
          <w:sz w:val="36"/>
          <w:szCs w:val="36"/>
          <w:rtl/>
        </w:rPr>
      </w:pPr>
      <w:r>
        <w:rPr>
          <w:rFonts w:cs="Guttman David" w:hint="cs"/>
          <w:sz w:val="36"/>
          <w:szCs w:val="36"/>
          <w:rtl/>
        </w:rPr>
        <w:t>ת. לכתחילה אסור, והמקלים בזה יש להם על מה לסמוך.</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לסדר את מיטתו לפני התפילה ?</w:t>
      </w:r>
    </w:p>
    <w:p w:rsidR="00E6081E" w:rsidRDefault="00E6081E" w:rsidP="00E6081E">
      <w:pPr>
        <w:rPr>
          <w:rFonts w:cs="Guttman David"/>
          <w:sz w:val="36"/>
          <w:szCs w:val="36"/>
          <w:rtl/>
        </w:rPr>
      </w:pPr>
      <w:r>
        <w:rPr>
          <w:rFonts w:cs="Guttman David" w:hint="cs"/>
          <w:sz w:val="36"/>
          <w:szCs w:val="36"/>
          <w:rtl/>
        </w:rPr>
        <w:t>ת. מותר לסדר מיטתו לפני התפילה, מפני שאין זה מעשיית צרכיו, אלא סדר ודרך ארץ.</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לקיים מצווה לפני התפילה ?</w:t>
      </w:r>
    </w:p>
    <w:p w:rsidR="00E6081E" w:rsidRDefault="00E6081E" w:rsidP="00E6081E">
      <w:pPr>
        <w:rPr>
          <w:rFonts w:cs="Guttman David"/>
          <w:sz w:val="36"/>
          <w:szCs w:val="36"/>
          <w:rtl/>
        </w:rPr>
      </w:pPr>
      <w:r>
        <w:rPr>
          <w:rFonts w:cs="Guttman David" w:hint="cs"/>
          <w:sz w:val="36"/>
          <w:szCs w:val="36"/>
          <w:rtl/>
        </w:rPr>
        <w:t>ת. מותר לעשות מצווה לפני התפילה כמו לעזור להוריו, או לעזור לאשתו בטיפול הילדים בבוקר.</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לאכול קודם התפילה ?</w:t>
      </w:r>
    </w:p>
    <w:p w:rsidR="00E6081E" w:rsidRDefault="00E6081E" w:rsidP="00E6081E">
      <w:pPr>
        <w:rPr>
          <w:rFonts w:cs="Guttman David"/>
          <w:sz w:val="36"/>
          <w:szCs w:val="36"/>
          <w:rtl/>
        </w:rPr>
      </w:pPr>
      <w:r>
        <w:rPr>
          <w:rFonts w:cs="Guttman David" w:hint="cs"/>
          <w:sz w:val="36"/>
          <w:szCs w:val="36"/>
          <w:rtl/>
        </w:rPr>
        <w:lastRenderedPageBreak/>
        <w:t>ת. אסור לאכול הקודם התפילה.</w:t>
      </w:r>
    </w:p>
    <w:p w:rsidR="00E6081E" w:rsidRPr="00E309B1" w:rsidRDefault="00E6081E" w:rsidP="00E6081E">
      <w:pPr>
        <w:rPr>
          <w:rFonts w:cs="Guttman David"/>
          <w:b/>
          <w:bCs/>
          <w:sz w:val="36"/>
          <w:szCs w:val="36"/>
          <w:rtl/>
        </w:rPr>
      </w:pPr>
      <w:r w:rsidRPr="00E309B1">
        <w:rPr>
          <w:rFonts w:cs="Guttman David" w:hint="cs"/>
          <w:b/>
          <w:bCs/>
          <w:sz w:val="36"/>
          <w:szCs w:val="36"/>
          <w:rtl/>
        </w:rPr>
        <w:t>ש. מהיכן לומדים שאסור לאכול ולשתות קודם התפילה ?</w:t>
      </w:r>
    </w:p>
    <w:p w:rsidR="00E6081E" w:rsidRDefault="00E6081E" w:rsidP="00E6081E">
      <w:pPr>
        <w:rPr>
          <w:rFonts w:cs="Guttman David"/>
          <w:sz w:val="36"/>
          <w:szCs w:val="36"/>
          <w:rtl/>
        </w:rPr>
      </w:pPr>
      <w:r>
        <w:rPr>
          <w:rFonts w:cs="Guttman David" w:hint="cs"/>
          <w:sz w:val="36"/>
          <w:szCs w:val="36"/>
          <w:rtl/>
        </w:rPr>
        <w:t>ת. כתוב בפסוק "לא תאכל על הדם" דרשו חז"ל: לא תאכלו קודם שתתפללו על דמכם.</w:t>
      </w:r>
    </w:p>
    <w:p w:rsidR="00E6081E" w:rsidRPr="00E309B1" w:rsidRDefault="00E6081E" w:rsidP="00E6081E">
      <w:pPr>
        <w:rPr>
          <w:rFonts w:cs="Guttman David"/>
          <w:b/>
          <w:bCs/>
          <w:sz w:val="36"/>
          <w:szCs w:val="36"/>
          <w:rtl/>
        </w:rPr>
      </w:pPr>
      <w:r w:rsidRPr="00E309B1">
        <w:rPr>
          <w:rFonts w:cs="Guttman David" w:hint="cs"/>
          <w:b/>
          <w:bCs/>
          <w:sz w:val="36"/>
          <w:szCs w:val="36"/>
          <w:rtl/>
        </w:rPr>
        <w:t>ש. אלו משקים אסור לשתות קודם התפילה ?</w:t>
      </w:r>
    </w:p>
    <w:p w:rsidR="00E6081E" w:rsidRDefault="00E6081E" w:rsidP="00E6081E">
      <w:pPr>
        <w:rPr>
          <w:rFonts w:cs="Guttman David"/>
          <w:sz w:val="36"/>
          <w:szCs w:val="36"/>
          <w:rtl/>
        </w:rPr>
      </w:pPr>
      <w:r>
        <w:rPr>
          <w:rFonts w:cs="Guttman David" w:hint="cs"/>
          <w:sz w:val="36"/>
          <w:szCs w:val="36"/>
          <w:rtl/>
        </w:rPr>
        <w:t>ת. לפני התפילה אסור לשתות משקים חשובים כמו: יין, דבש, חלב, וכיוצא בהם.</w:t>
      </w:r>
    </w:p>
    <w:p w:rsidR="00E6081E" w:rsidRPr="00E309B1" w:rsidRDefault="00E6081E" w:rsidP="00E6081E">
      <w:pPr>
        <w:rPr>
          <w:rFonts w:cs="Guttman David"/>
          <w:b/>
          <w:bCs/>
          <w:sz w:val="36"/>
          <w:szCs w:val="36"/>
          <w:rtl/>
        </w:rPr>
      </w:pPr>
      <w:r w:rsidRPr="00E309B1">
        <w:rPr>
          <w:rFonts w:cs="Guttman David" w:hint="cs"/>
          <w:b/>
          <w:bCs/>
          <w:sz w:val="36"/>
          <w:szCs w:val="36"/>
          <w:rtl/>
        </w:rPr>
        <w:t>ש. אלו משקים מותר לשתות לפני התפילה ?</w:t>
      </w:r>
    </w:p>
    <w:p w:rsidR="00E6081E" w:rsidRDefault="00E6081E" w:rsidP="00E6081E">
      <w:pPr>
        <w:rPr>
          <w:rFonts w:cs="Guttman David"/>
          <w:sz w:val="36"/>
          <w:szCs w:val="36"/>
          <w:rtl/>
        </w:rPr>
      </w:pPr>
      <w:r>
        <w:rPr>
          <w:rFonts w:cs="Guttman David" w:hint="cs"/>
          <w:sz w:val="36"/>
          <w:szCs w:val="36"/>
          <w:rtl/>
        </w:rPr>
        <w:t>ת. מים, תה, וקפה עם סוכר, מותר לשתות, שאינם אלא ליישב דעתו לתפילה.</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לשתות קפה עם חלב לפני התפילה ?</w:t>
      </w:r>
    </w:p>
    <w:p w:rsidR="00E6081E" w:rsidRDefault="00E6081E" w:rsidP="00E6081E">
      <w:pPr>
        <w:rPr>
          <w:rFonts w:cs="Guttman David"/>
          <w:sz w:val="36"/>
          <w:szCs w:val="36"/>
          <w:rtl/>
        </w:rPr>
      </w:pPr>
      <w:r>
        <w:rPr>
          <w:rFonts w:cs="Guttman David" w:hint="cs"/>
          <w:sz w:val="36"/>
          <w:szCs w:val="36"/>
          <w:rtl/>
        </w:rPr>
        <w:t>ת. במקום הצורך, רשאי לערב מעט חלב בקפה, שמאחר וכך הרגילות אצל רבים לשתות את הקפה עם החלב, אין בזה דרך גאווה.</w:t>
      </w:r>
    </w:p>
    <w:p w:rsidR="00E6081E" w:rsidRPr="00E309B1" w:rsidRDefault="00E6081E" w:rsidP="00E6081E">
      <w:pPr>
        <w:rPr>
          <w:rFonts w:cs="Guttman David"/>
          <w:b/>
          <w:bCs/>
          <w:sz w:val="36"/>
          <w:szCs w:val="36"/>
          <w:rtl/>
        </w:rPr>
      </w:pPr>
      <w:r w:rsidRPr="00E309B1">
        <w:rPr>
          <w:rFonts w:cs="Guttman David" w:hint="cs"/>
          <w:b/>
          <w:bCs/>
          <w:sz w:val="36"/>
          <w:szCs w:val="36"/>
          <w:rtl/>
        </w:rPr>
        <w:t>ש. האם מותר לאכול מאכל מסוים לצורך רפואה לפני התפילה ?</w:t>
      </w:r>
    </w:p>
    <w:p w:rsidR="00E6081E" w:rsidRDefault="00E6081E" w:rsidP="00E6081E">
      <w:pPr>
        <w:rPr>
          <w:rFonts w:cs="Guttman David"/>
          <w:sz w:val="36"/>
          <w:szCs w:val="36"/>
          <w:rtl/>
        </w:rPr>
      </w:pPr>
      <w:r>
        <w:rPr>
          <w:rFonts w:cs="Guttman David" w:hint="cs"/>
          <w:sz w:val="36"/>
          <w:szCs w:val="36"/>
          <w:rtl/>
        </w:rPr>
        <w:t>ת מותר, שאין זה דרך גאווה.</w:t>
      </w:r>
    </w:p>
    <w:p w:rsidR="00E6081E" w:rsidRPr="00E309B1" w:rsidRDefault="00E6081E" w:rsidP="00E6081E">
      <w:pPr>
        <w:rPr>
          <w:rFonts w:cs="Guttman David"/>
          <w:b/>
          <w:bCs/>
          <w:sz w:val="36"/>
          <w:szCs w:val="36"/>
          <w:rtl/>
        </w:rPr>
      </w:pPr>
      <w:r w:rsidRPr="00E309B1">
        <w:rPr>
          <w:rFonts w:cs="Guttman David" w:hint="cs"/>
          <w:b/>
          <w:bCs/>
          <w:sz w:val="36"/>
          <w:szCs w:val="36"/>
          <w:rtl/>
        </w:rPr>
        <w:t>ש. מה הדין אם היה רעב מאוד לפני התפילה ואינו מיושב בדעתו להתפלל בכוונת הלב האם רשאי לאכול ?</w:t>
      </w:r>
    </w:p>
    <w:p w:rsidR="00E6081E" w:rsidRDefault="00E6081E" w:rsidP="00E6081E">
      <w:pPr>
        <w:rPr>
          <w:rFonts w:cs="Guttman David"/>
          <w:sz w:val="36"/>
          <w:szCs w:val="36"/>
          <w:rtl/>
        </w:rPr>
      </w:pPr>
      <w:r>
        <w:rPr>
          <w:rFonts w:cs="Guttman David" w:hint="cs"/>
          <w:sz w:val="36"/>
          <w:szCs w:val="36"/>
          <w:rtl/>
        </w:rPr>
        <w:lastRenderedPageBreak/>
        <w:t>ת. רשאי לאכול קודם התפילה כדי שתתיישב דעתו.</w:t>
      </w:r>
    </w:p>
    <w:p w:rsidR="00E6081E" w:rsidRPr="00E309B1" w:rsidRDefault="00E6081E" w:rsidP="00E6081E">
      <w:pPr>
        <w:rPr>
          <w:rFonts w:cs="Guttman David"/>
          <w:b/>
          <w:bCs/>
          <w:sz w:val="36"/>
          <w:szCs w:val="36"/>
          <w:rtl/>
        </w:rPr>
      </w:pPr>
      <w:r w:rsidRPr="00E309B1">
        <w:rPr>
          <w:rFonts w:cs="Guttman David" w:hint="cs"/>
          <w:b/>
          <w:bCs/>
          <w:sz w:val="36"/>
          <w:szCs w:val="36"/>
          <w:rtl/>
        </w:rPr>
        <w:t>ש. האם קטן מותר באכילה לפני התפילה ?</w:t>
      </w:r>
    </w:p>
    <w:p w:rsidR="00E6081E" w:rsidRDefault="00E6081E" w:rsidP="00E6081E">
      <w:pPr>
        <w:rPr>
          <w:rFonts w:cs="Guttman David"/>
          <w:sz w:val="36"/>
          <w:szCs w:val="36"/>
          <w:rtl/>
        </w:rPr>
      </w:pPr>
      <w:r>
        <w:rPr>
          <w:rFonts w:cs="Guttman David" w:hint="cs"/>
          <w:sz w:val="36"/>
          <w:szCs w:val="36"/>
          <w:rtl/>
        </w:rPr>
        <w:t>ת. מותר לקטן לשתות ולאכול לפני התפילה, אולם ילד בריא בן שתים עשרה שנה ראוי לחנכו גם בזה.</w:t>
      </w:r>
    </w:p>
    <w:p w:rsidR="00E6081E" w:rsidRPr="004463A4" w:rsidRDefault="00E6081E" w:rsidP="00E6081E">
      <w:pPr>
        <w:rPr>
          <w:rFonts w:cs="Guttman David"/>
          <w:b/>
          <w:bCs/>
          <w:sz w:val="36"/>
          <w:szCs w:val="36"/>
          <w:rtl/>
        </w:rPr>
      </w:pPr>
      <w:r w:rsidRPr="004463A4">
        <w:rPr>
          <w:rFonts w:cs="Guttman David" w:hint="cs"/>
          <w:b/>
          <w:bCs/>
          <w:sz w:val="36"/>
          <w:szCs w:val="36"/>
          <w:rtl/>
        </w:rPr>
        <w:t>ש. האם נשים יכולות לאכול ולשתות קודם התפילה ?</w:t>
      </w:r>
    </w:p>
    <w:p w:rsidR="00E6081E" w:rsidRDefault="00E6081E" w:rsidP="00E6081E">
      <w:pPr>
        <w:rPr>
          <w:rFonts w:cs="Guttman David"/>
          <w:sz w:val="36"/>
          <w:szCs w:val="36"/>
          <w:rtl/>
        </w:rPr>
      </w:pPr>
      <w:r>
        <w:rPr>
          <w:rFonts w:cs="Guttman David" w:hint="cs"/>
          <w:sz w:val="36"/>
          <w:szCs w:val="36"/>
          <w:rtl/>
        </w:rPr>
        <w:t>ת. נשים מותרות באכילה ושתייה קודם התפילה משום שאינן חייבות בתפילה.</w:t>
      </w:r>
    </w:p>
    <w:p w:rsidR="00E6081E" w:rsidRPr="004463A4" w:rsidRDefault="00E6081E" w:rsidP="00E6081E">
      <w:pPr>
        <w:rPr>
          <w:rFonts w:cs="Guttman David"/>
          <w:b/>
          <w:bCs/>
          <w:sz w:val="36"/>
          <w:szCs w:val="36"/>
          <w:rtl/>
        </w:rPr>
      </w:pPr>
      <w:r w:rsidRPr="004463A4">
        <w:rPr>
          <w:rFonts w:cs="Guttman David" w:hint="cs"/>
          <w:b/>
          <w:bCs/>
          <w:sz w:val="36"/>
          <w:szCs w:val="36"/>
          <w:rtl/>
        </w:rPr>
        <w:t>ש. אדם שקם קודם עמוד השחר האם יכל לאכול  ?</w:t>
      </w:r>
    </w:p>
    <w:p w:rsidR="00E6081E" w:rsidRDefault="00E6081E" w:rsidP="00E6081E">
      <w:pPr>
        <w:rPr>
          <w:rFonts w:cs="Guttman David"/>
          <w:sz w:val="36"/>
          <w:szCs w:val="36"/>
          <w:rtl/>
        </w:rPr>
      </w:pPr>
      <w:r>
        <w:rPr>
          <w:rFonts w:cs="Guttman David" w:hint="cs"/>
          <w:sz w:val="36"/>
          <w:szCs w:val="36"/>
          <w:rtl/>
        </w:rPr>
        <w:t>ת. כן, ובהגיע עמד השחר עליו להפסיק לאכול.</w:t>
      </w:r>
    </w:p>
    <w:p w:rsidR="00E6081E" w:rsidRPr="004463A4" w:rsidRDefault="00E6081E" w:rsidP="00E6081E">
      <w:pPr>
        <w:rPr>
          <w:rFonts w:cs="Guttman David"/>
          <w:b/>
          <w:bCs/>
          <w:sz w:val="36"/>
          <w:szCs w:val="36"/>
          <w:rtl/>
        </w:rPr>
      </w:pPr>
      <w:r w:rsidRPr="004463A4">
        <w:rPr>
          <w:rFonts w:cs="Guttman David" w:hint="cs"/>
          <w:b/>
          <w:bCs/>
          <w:sz w:val="36"/>
          <w:szCs w:val="36"/>
          <w:rtl/>
        </w:rPr>
        <w:t>ש. אדם שאינו שומר תורה וצוות ואינו מתפלל האם מותר להגיש לפניו מאכל ?</w:t>
      </w:r>
    </w:p>
    <w:p w:rsidR="00E6081E" w:rsidRDefault="00E6081E" w:rsidP="00E6081E">
      <w:pPr>
        <w:rPr>
          <w:rFonts w:cs="Guttman David"/>
          <w:sz w:val="36"/>
          <w:szCs w:val="36"/>
          <w:rtl/>
        </w:rPr>
      </w:pPr>
      <w:r>
        <w:rPr>
          <w:rFonts w:cs="Guttman David" w:hint="cs"/>
          <w:sz w:val="36"/>
          <w:szCs w:val="36"/>
          <w:rtl/>
        </w:rPr>
        <w:t>ת. מותר, משום שאינו מתפלל לא שייך אצלו האיסור של לאכול לפני התפילה.</w:t>
      </w:r>
    </w:p>
    <w:p w:rsidR="00E6081E" w:rsidRPr="004463A4" w:rsidRDefault="00E6081E" w:rsidP="00E6081E">
      <w:pPr>
        <w:rPr>
          <w:rFonts w:cs="Guttman David"/>
          <w:b/>
          <w:bCs/>
          <w:sz w:val="36"/>
          <w:szCs w:val="36"/>
          <w:rtl/>
        </w:rPr>
      </w:pPr>
      <w:r w:rsidRPr="004463A4">
        <w:rPr>
          <w:rFonts w:cs="Guttman David" w:hint="cs"/>
          <w:b/>
          <w:bCs/>
          <w:sz w:val="36"/>
          <w:szCs w:val="36"/>
          <w:rtl/>
        </w:rPr>
        <w:t>ש. האם מותר ללמוד כשהגיע זמן תפילה ?</w:t>
      </w:r>
    </w:p>
    <w:p w:rsidR="00E6081E" w:rsidRDefault="00E6081E" w:rsidP="00E6081E">
      <w:pPr>
        <w:rPr>
          <w:rFonts w:cs="Guttman David"/>
          <w:sz w:val="36"/>
          <w:szCs w:val="36"/>
          <w:rtl/>
        </w:rPr>
      </w:pPr>
      <w:r>
        <w:rPr>
          <w:rFonts w:cs="Guttman David" w:hint="cs"/>
          <w:sz w:val="36"/>
          <w:szCs w:val="36"/>
          <w:rtl/>
        </w:rPr>
        <w:t>ת. אסור ללמוד כשהגיע זמן תפילה, שמא ימשך בלימודו ויעבור זמן קריאת שמע ותפילה, אולם הרגיל להתפלל בבית הכנסת בשעה קבועה, מותר לו להתחיל ללמוד, מאחר ורגיל בקביעות ללכת לבית הכנסת בודאי יזכור.</w:t>
      </w:r>
    </w:p>
    <w:p w:rsidR="00E6081E" w:rsidRPr="004463A4" w:rsidRDefault="00E6081E" w:rsidP="00E6081E">
      <w:pPr>
        <w:rPr>
          <w:rFonts w:cs="Guttman David"/>
          <w:b/>
          <w:bCs/>
          <w:sz w:val="36"/>
          <w:szCs w:val="36"/>
          <w:rtl/>
        </w:rPr>
      </w:pPr>
      <w:r w:rsidRPr="004463A4">
        <w:rPr>
          <w:rFonts w:cs="Guttman David" w:hint="cs"/>
          <w:b/>
          <w:bCs/>
          <w:sz w:val="36"/>
          <w:szCs w:val="36"/>
          <w:rtl/>
        </w:rPr>
        <w:t>ש. האם מותר למסור שיעור תורה קודם התפילה ?</w:t>
      </w:r>
    </w:p>
    <w:p w:rsidR="00E6081E" w:rsidRDefault="00E6081E" w:rsidP="00E6081E">
      <w:pPr>
        <w:rPr>
          <w:rFonts w:cs="Guttman David"/>
          <w:sz w:val="36"/>
          <w:szCs w:val="36"/>
          <w:rtl/>
        </w:rPr>
      </w:pPr>
      <w:r>
        <w:rPr>
          <w:rFonts w:cs="Guttman David" w:hint="cs"/>
          <w:sz w:val="36"/>
          <w:szCs w:val="36"/>
          <w:rtl/>
        </w:rPr>
        <w:lastRenderedPageBreak/>
        <w:t>ת. מותר, משום זיכוי הרבים.</w:t>
      </w:r>
    </w:p>
    <w:p w:rsidR="00E6081E" w:rsidRPr="004463A4" w:rsidRDefault="00E6081E" w:rsidP="00E6081E">
      <w:pPr>
        <w:rPr>
          <w:rFonts w:cs="Guttman David"/>
          <w:b/>
          <w:bCs/>
          <w:sz w:val="36"/>
          <w:szCs w:val="36"/>
          <w:rtl/>
        </w:rPr>
      </w:pPr>
      <w:r w:rsidRPr="004463A4">
        <w:rPr>
          <w:rFonts w:cs="Guttman David" w:hint="cs"/>
          <w:b/>
          <w:bCs/>
          <w:sz w:val="36"/>
          <w:szCs w:val="36"/>
          <w:rtl/>
        </w:rPr>
        <w:t>ש. היכן עדיף להניח תפילין בבית הכנסת או בבית ?</w:t>
      </w:r>
    </w:p>
    <w:p w:rsidR="00E6081E" w:rsidRDefault="00E6081E" w:rsidP="00E6081E">
      <w:pPr>
        <w:rPr>
          <w:rFonts w:cs="Guttman David"/>
          <w:sz w:val="36"/>
          <w:szCs w:val="36"/>
          <w:rtl/>
        </w:rPr>
      </w:pPr>
      <w:r>
        <w:rPr>
          <w:rFonts w:cs="Guttman David" w:hint="cs"/>
          <w:sz w:val="36"/>
          <w:szCs w:val="36"/>
          <w:rtl/>
        </w:rPr>
        <w:t>ת. הזוהר הקדוש מפליג מאוד בשבחו של אדם המניח תפילין בביתו אפילו אם מחמת כך לא יהיה מעשרה הראשונים בבית הכנסת.</w:t>
      </w:r>
    </w:p>
    <w:p w:rsidR="00260886" w:rsidRDefault="00260886"/>
    <w:sectPr w:rsidR="00260886" w:rsidSect="00E6081E">
      <w:footerReference w:type="default" r:id="rId6"/>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69B9" w:rsidRDefault="001D69B9" w:rsidP="00E6081E">
      <w:pPr>
        <w:spacing w:after="0" w:line="240" w:lineRule="auto"/>
      </w:pPr>
      <w:r>
        <w:separator/>
      </w:r>
    </w:p>
  </w:endnote>
  <w:endnote w:type="continuationSeparator" w:id="1">
    <w:p w:rsidR="001D69B9" w:rsidRDefault="001D69B9" w:rsidP="00E608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35308772"/>
      <w:docPartObj>
        <w:docPartGallery w:val="Page Numbers (Bottom of Page)"/>
        <w:docPartUnique/>
      </w:docPartObj>
    </w:sdtPr>
    <w:sdtContent>
      <w:p w:rsidR="00E6081E" w:rsidRDefault="00E6081E">
        <w:pPr>
          <w:pStyle w:val="a5"/>
          <w:jc w:val="center"/>
        </w:pPr>
        <w:fldSimple w:instr=" PAGE   \* MERGEFORMAT ">
          <w:r w:rsidRPr="00E6081E">
            <w:rPr>
              <w:rFonts w:cs="Calibri"/>
              <w:noProof/>
              <w:rtl/>
              <w:lang w:val="he-IL"/>
            </w:rPr>
            <w:t>5</w:t>
          </w:r>
        </w:fldSimple>
      </w:p>
    </w:sdtContent>
  </w:sdt>
  <w:p w:rsidR="00E6081E" w:rsidRDefault="00E6081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69B9" w:rsidRDefault="001D69B9" w:rsidP="00E6081E">
      <w:pPr>
        <w:spacing w:after="0" w:line="240" w:lineRule="auto"/>
      </w:pPr>
      <w:r>
        <w:separator/>
      </w:r>
    </w:p>
  </w:footnote>
  <w:footnote w:type="continuationSeparator" w:id="1">
    <w:p w:rsidR="001D69B9" w:rsidRDefault="001D69B9" w:rsidP="00E6081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characterSpacingControl w:val="doNotCompress"/>
  <w:footnotePr>
    <w:footnote w:id="0"/>
    <w:footnote w:id="1"/>
  </w:footnotePr>
  <w:endnotePr>
    <w:endnote w:id="0"/>
    <w:endnote w:id="1"/>
  </w:endnotePr>
  <w:compat/>
  <w:rsids>
    <w:rsidRoot w:val="00E6081E"/>
    <w:rsid w:val="001D69B9"/>
    <w:rsid w:val="00260886"/>
    <w:rsid w:val="00E6081E"/>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81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6081E"/>
    <w:pPr>
      <w:tabs>
        <w:tab w:val="center" w:pos="4153"/>
        <w:tab w:val="right" w:pos="8306"/>
      </w:tabs>
      <w:spacing w:after="0" w:line="240" w:lineRule="auto"/>
    </w:pPr>
  </w:style>
  <w:style w:type="character" w:customStyle="1" w:styleId="a4">
    <w:name w:val="כותרת עליונה תו"/>
    <w:basedOn w:val="a0"/>
    <w:link w:val="a3"/>
    <w:uiPriority w:val="99"/>
    <w:semiHidden/>
    <w:rsid w:val="00E6081E"/>
  </w:style>
  <w:style w:type="paragraph" w:styleId="a5">
    <w:name w:val="footer"/>
    <w:basedOn w:val="a"/>
    <w:link w:val="a6"/>
    <w:uiPriority w:val="99"/>
    <w:unhideWhenUsed/>
    <w:rsid w:val="00E6081E"/>
    <w:pPr>
      <w:tabs>
        <w:tab w:val="center" w:pos="4153"/>
        <w:tab w:val="right" w:pos="8306"/>
      </w:tabs>
      <w:spacing w:after="0" w:line="240" w:lineRule="auto"/>
    </w:pPr>
  </w:style>
  <w:style w:type="character" w:customStyle="1" w:styleId="a6">
    <w:name w:val="כותרת תחתונה תו"/>
    <w:basedOn w:val="a0"/>
    <w:link w:val="a5"/>
    <w:uiPriority w:val="99"/>
    <w:rsid w:val="00E6081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510</Words>
  <Characters>2551</Characters>
  <Application>Microsoft Office Word</Application>
  <DocSecurity>0</DocSecurity>
  <Lines>21</Lines>
  <Paragraphs>6</Paragraphs>
  <ScaleCrop>false</ScaleCrop>
  <Company>Grizli777</Company>
  <LinksUpToDate>false</LinksUpToDate>
  <CharactersWithSpaces>3055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2024-11-02T19:27:00Z</dcterms:created>
  <dcterms:modified xsi:type="dcterms:W3CDTF">2024-11-02T19:28:00Z</dcterms:modified>
</cp:coreProperties>
</file>